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Сообщаем вам, что на </w:t>
      </w:r>
      <w:r>
        <w:rPr>
          <w:b/>
          <w:bCs/>
          <w:sz w:val="24"/>
          <w:szCs w:val="24"/>
        </w:rPr>
        <w:t>июнь</w:t>
      </w:r>
      <w:r>
        <w:rPr>
          <w:b/>
          <w:sz w:val="24"/>
          <w:szCs w:val="24"/>
        </w:rPr>
        <w:t xml:space="preserve">  2025 года</w:t>
      </w:r>
      <w:r>
        <w:rPr>
          <w:sz w:val="24"/>
          <w:szCs w:val="24"/>
        </w:rPr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tbl>
      <w:tblPr>
        <w:tblW w:w="9211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468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июня 2025 года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июня 2025 года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-ул.Ленина, 57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-ул.Чернышевского, 17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-ул.Попова, 80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7</w:t>
            </w: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 xml:space="preserve"> июня 2025 года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-ул.Клубная, 6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LibreOffice/7.4.3.2$Windows_X86_64 LibreOffice_project/1048a8393ae2eeec98dff31b5c133c5f1d08b890</Application>
  <AppVersion>15.0000</AppVersion>
  <Pages>1</Pages>
  <Words>201</Words>
  <Characters>1394</Characters>
  <CharactersWithSpaces>1594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2024-05-16T10:32:40Z</cp:lastPrinted>
  <dcterms:modified xsi:type="dcterms:W3CDTF">2025-05-23T14:35:26Z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