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Уважаемые собственники жилых помещений!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0" w:right="0" w:firstLine="708"/>
        <w:jc w:val="both"/>
        <w:rPr/>
      </w:pPr>
      <w:r>
        <w:rPr/>
        <w:t xml:space="preserve">Сообщаем вам, что на </w:t>
      </w:r>
      <w:r>
        <w:rPr>
          <w:b/>
          <w:bCs/>
        </w:rPr>
        <w:t>ноябрь</w:t>
      </w:r>
      <w:r>
        <w:rPr>
          <w:b/>
        </w:rPr>
        <w:t xml:space="preserve"> 2024 года</w:t>
      </w:r>
      <w:r>
        <w:rPr/>
        <w:t xml:space="preserve"> запланированы работы по проведению проверки состояния индивидуальных приборов учета (далее по тексту ИПУ), установленных в жилых помещениях, а так же достоверности представляемых сведений о показаниях ИПУ, по следующему графику:</w:t>
      </w:r>
    </w:p>
    <w:p>
      <w:pPr>
        <w:pStyle w:val="Normal"/>
        <w:ind w:left="0" w:right="0" w:firstLine="708"/>
        <w:jc w:val="both"/>
        <w:rPr/>
      </w:pPr>
      <w:r>
        <w:rPr/>
      </w:r>
    </w:p>
    <w:tbl>
      <w:tblPr>
        <w:tblW w:w="956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3"/>
      </w:tblGrid>
      <w:tr>
        <w:trPr/>
        <w:tc>
          <w:tcPr>
            <w:tcW w:w="4785" w:type="dxa"/>
            <w:tcBorders/>
          </w:tcPr>
          <w:p>
            <w:pPr>
              <w:pStyle w:val="Normal"/>
              <w:widowControl w:val="false"/>
              <w:jc w:val="both"/>
              <w:rPr>
                <w:u w:val="single"/>
              </w:rPr>
            </w:pPr>
            <w:r>
              <w:rPr>
                <w:b/>
                <w:bCs/>
                <w:u w:val="single"/>
              </w:rPr>
              <w:t>22 ноября 2024 года</w:t>
            </w:r>
          </w:p>
          <w:p>
            <w:pPr>
              <w:pStyle w:val="Normal"/>
              <w:widowControl w:val="false"/>
              <w:jc w:val="both"/>
              <w:rPr>
                <w:b w:val="false"/>
                <w:b w:val="false"/>
                <w:bCs w:val="false"/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none"/>
                <w:lang w:val="ru-RU" w:bidi="ar-SA"/>
              </w:rPr>
              <w:t>- ул. Чкалова, 27,29</w:t>
            </w:r>
          </w:p>
        </w:tc>
        <w:tc>
          <w:tcPr>
            <w:tcW w:w="4783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b/>
                <w:b/>
                <w:bCs/>
                <w:u w:val="single"/>
              </w:rPr>
            </w:pPr>
            <w:r>
              <w:rPr>
                <w:b/>
                <w:bCs/>
                <w:kern w:val="0"/>
                <w:sz w:val="22"/>
                <w:u w:val="single"/>
                <w:lang w:val="ru-RU" w:bidi="ar-SA"/>
              </w:rPr>
              <w:t>27 ноября 2024 года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none"/>
                <w:lang w:val="ru-RU" w:bidi="ar-SA"/>
              </w:rPr>
              <w:t>-ул. Карпинского,42,51,53,55,57,59,63</w:t>
            </w:r>
          </w:p>
        </w:tc>
      </w:tr>
      <w:tr>
        <w:trPr/>
        <w:tc>
          <w:tcPr>
            <w:tcW w:w="4785" w:type="dxa"/>
            <w:tcBorders/>
          </w:tcPr>
          <w:p>
            <w:pPr>
              <w:pStyle w:val="Normal"/>
              <w:widowControl w:val="false"/>
              <w:snapToGrid w:val="false"/>
              <w:jc w:val="both"/>
              <w:rPr/>
            </w:pPr>
            <w:r>
              <w:rPr/>
            </w:r>
          </w:p>
        </w:tc>
        <w:tc>
          <w:tcPr>
            <w:tcW w:w="4783" w:type="dxa"/>
            <w:tcBorders/>
          </w:tcPr>
          <w:p>
            <w:pPr>
              <w:pStyle w:val="Normal"/>
              <w:widowControl w:val="false"/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4785" w:type="dxa"/>
            <w:tcBorders/>
          </w:tcPr>
          <w:p>
            <w:pPr>
              <w:pStyle w:val="Normal"/>
              <w:widowControl w:val="false"/>
              <w:jc w:val="both"/>
              <w:rPr>
                <w:u w:val="single"/>
              </w:rPr>
            </w:pPr>
            <w:r>
              <w:rPr>
                <w:b/>
                <w:bCs/>
                <w:u w:val="single"/>
              </w:rPr>
              <w:t>25 ноября 2024 года</w:t>
            </w:r>
          </w:p>
          <w:p>
            <w:pPr>
              <w:pStyle w:val="Normal"/>
              <w:widowControl w:val="false"/>
              <w:jc w:val="both"/>
              <w:rPr>
                <w:b w:val="false"/>
                <w:b w:val="false"/>
                <w:bCs w:val="false"/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none"/>
                <w:lang w:val="ru-RU" w:bidi="ar-SA"/>
              </w:rPr>
              <w:t>- ул. Чкалова, 31,33</w:t>
            </w:r>
          </w:p>
        </w:tc>
        <w:tc>
          <w:tcPr>
            <w:tcW w:w="4783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b/>
                <w:b/>
                <w:bCs/>
                <w:u w:val="single"/>
              </w:rPr>
            </w:pPr>
            <w:r>
              <w:rPr>
                <w:b/>
                <w:bCs/>
                <w:kern w:val="0"/>
                <w:sz w:val="22"/>
                <w:u w:val="single"/>
                <w:lang w:val="ru-RU" w:bidi="ar-SA"/>
              </w:rPr>
              <w:t>28 ноября 2024 года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b w:val="false"/>
                <w:b w:val="false"/>
                <w:bCs w:val="false"/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single"/>
                <w:lang w:val="ru-RU" w:bidi="ar-SA"/>
              </w:rPr>
              <w:t>-ул. Ленина, 52,54,56,58,60,62,64,66</w:t>
            </w:r>
          </w:p>
        </w:tc>
      </w:tr>
      <w:tr>
        <w:trPr/>
        <w:tc>
          <w:tcPr>
            <w:tcW w:w="4785" w:type="dxa"/>
            <w:tcBorders/>
          </w:tcPr>
          <w:p>
            <w:pPr>
              <w:pStyle w:val="Normal"/>
              <w:widowControl w:val="false"/>
              <w:snapToGrid w:val="false"/>
              <w:jc w:val="both"/>
              <w:rPr/>
            </w:pPr>
            <w:r>
              <w:rPr/>
            </w:r>
          </w:p>
        </w:tc>
        <w:tc>
          <w:tcPr>
            <w:tcW w:w="4783" w:type="dxa"/>
            <w:tcBorders/>
          </w:tcPr>
          <w:p>
            <w:pPr>
              <w:pStyle w:val="Normal"/>
              <w:widowControl w:val="false"/>
              <w:snapToGrid w:val="false"/>
              <w:jc w:val="both"/>
              <w:rPr/>
            </w:pPr>
            <w:r>
              <w:rPr/>
            </w:r>
          </w:p>
        </w:tc>
      </w:tr>
      <w:tr>
        <w:trPr/>
        <w:tc>
          <w:tcPr>
            <w:tcW w:w="47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b/>
                <w:b/>
                <w:bCs/>
                <w:u w:val="single"/>
              </w:rPr>
            </w:pPr>
            <w:r>
              <w:rPr>
                <w:b/>
                <w:bCs/>
                <w:kern w:val="0"/>
                <w:sz w:val="22"/>
                <w:u w:val="single"/>
                <w:lang w:val="ru-RU" w:bidi="ar-SA"/>
              </w:rPr>
              <w:t>26 ноября 2024 года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b w:val="false"/>
                <w:b w:val="false"/>
                <w:bCs w:val="false"/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none"/>
                <w:lang w:val="ru-RU" w:bidi="ar-SA"/>
              </w:rPr>
              <w:t>-ул. Бульвар Мира,4,8</w:t>
            </w:r>
          </w:p>
        </w:tc>
        <w:tc>
          <w:tcPr>
            <w:tcW w:w="4783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b/>
                <w:b/>
                <w:bCs/>
                <w:u w:val="single"/>
              </w:rPr>
            </w:pPr>
            <w:r>
              <w:rPr>
                <w:b/>
                <w:bCs/>
                <w:kern w:val="0"/>
                <w:sz w:val="22"/>
                <w:u w:val="single"/>
                <w:lang w:val="ru-RU" w:bidi="ar-SA"/>
              </w:rPr>
              <w:t>29 ноября 2024 года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b w:val="false"/>
                <w:b w:val="false"/>
                <w:bCs w:val="false"/>
                <w:u w:val="none"/>
              </w:rPr>
            </w:pPr>
            <w:r>
              <w:rPr>
                <w:b w:val="false"/>
                <w:bCs w:val="false"/>
                <w:kern w:val="0"/>
                <w:sz w:val="22"/>
                <w:u w:val="single"/>
                <w:lang w:val="ru-RU" w:bidi="ar-SA"/>
              </w:rPr>
              <w:t>-ул. Ленина, 68,70,72,72а,74,74а</w:t>
            </w:r>
          </w:p>
        </w:tc>
      </w:tr>
    </w:tbl>
    <w:p>
      <w:pPr>
        <w:pStyle w:val="Normal"/>
        <w:ind w:left="0" w:right="0" w:firstLine="70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0" w:right="0" w:firstLine="708"/>
        <w:jc w:val="both"/>
        <w:rPr>
          <w:sz w:val="24"/>
          <w:szCs w:val="24"/>
        </w:rPr>
      </w:pPr>
      <w:r>
        <w:rPr>
          <w:b/>
          <w:i w:val="false"/>
          <w:iCs w:val="false"/>
          <w:sz w:val="24"/>
          <w:szCs w:val="24"/>
          <w:u w:val="none"/>
        </w:rPr>
        <w:t>Время начала проведения работ в установленные даты будет указано в объявлениях, размещенных накануне проведения работ на информационных стендах, установленных на фасадах жилых домов.</w:t>
      </w:r>
    </w:p>
    <w:p>
      <w:pPr>
        <w:pStyle w:val="Normal"/>
        <w:ind w:left="0" w:right="0" w:firstLine="70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0" w:right="0" w:firstLine="708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 указанные даты  вам необходимо обеспечить доступ сотруднику уполномоченной организации по снятию показаний  ИПУ ООО «РЭМП» к приборам учета, установленным внутри жилого помещения. </w:t>
      </w:r>
      <w:r>
        <w:rPr>
          <w:rFonts w:cs="Times New Roman CYR"/>
          <w:b w:val="false"/>
          <w:bCs w:val="false"/>
          <w:i w:val="false"/>
          <w:iCs w:val="false"/>
          <w:sz w:val="24"/>
          <w:szCs w:val="24"/>
          <w:lang w:val="ru-RU"/>
        </w:rPr>
        <w:t xml:space="preserve">При наличии водонагревателя, </w:t>
      </w:r>
      <w:r>
        <w:rPr>
          <w:rFonts w:cs="Times New Roman CYR"/>
          <w:b w:val="false"/>
          <w:bCs w:val="false"/>
          <w:i w:val="false"/>
          <w:iCs w:val="false"/>
          <w:sz w:val="24"/>
          <w:szCs w:val="24"/>
          <w:u w:val="single"/>
          <w:lang w:val="ru-RU"/>
        </w:rPr>
        <w:t>отключить его и включить централизованное горячее водоснабжение.</w:t>
      </w:r>
    </w:p>
    <w:p>
      <w:pPr>
        <w:pStyle w:val="Normal"/>
        <w:ind w:left="0" w:righ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случае если потребитель не обеспечил допуск представителя уполномоченной  организации к приборам учета, установленным внутри жилого помещения, будет составлен акт об отказе в допуске (о недопуске) к ИПУ.</w:t>
      </w:r>
    </w:p>
    <w:p>
      <w:pPr>
        <w:pStyle w:val="Normal"/>
        <w:ind w:left="0" w:right="0" w:firstLine="708"/>
        <w:jc w:val="both"/>
        <w:rPr>
          <w:sz w:val="24"/>
          <w:szCs w:val="24"/>
        </w:rPr>
      </w:pPr>
      <w:r>
        <w:rPr>
          <w:i/>
          <w:sz w:val="24"/>
          <w:szCs w:val="24"/>
          <w:u w:val="single"/>
        </w:rPr>
        <w:t xml:space="preserve">После составления такого акта расчет стоимости потребленных коммунальных услуг  в течение 3-х расчетных периодов будет производиться исходя из рассчитанного среднемесячного объема потребления коммунального ресурса, определенного по показаниям ИПУ, далее исходя из  норматива потребления коммунальных услуг, повышающего коэффициента 1,5 и количества постоянно и (или) временно зарегистрированных граждан в помещении (если зарегистрированные граждане отсутствуют – исходя из количества собственников помещения). </w:t>
      </w:r>
    </w:p>
    <w:p>
      <w:pPr>
        <w:pStyle w:val="Normal"/>
        <w:jc w:val="center"/>
        <w:rPr>
          <w:sz w:val="72"/>
          <w:szCs w:val="72"/>
        </w:rPr>
      </w:pPr>
      <w:r>
        <w:rPr/>
      </w:r>
    </w:p>
    <w:sectPr>
      <w:type w:val="nextPage"/>
      <w:pgSz w:w="11906" w:h="16838"/>
      <w:pgMar w:left="1701" w:right="850" w:gutter="0" w:header="0" w:top="568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85f5d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Hyperlink"/>
    <w:basedOn w:val="DefaultParagraphFont"/>
    <w:uiPriority w:val="99"/>
    <w:unhideWhenUsed/>
    <w:rsid w:val="00b66d3b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Style20">
    <w:name w:val="Содержимое таблицы"/>
    <w:basedOn w:val="Normal"/>
    <w:qFormat/>
    <w:pPr>
      <w:widowControl w:val="false"/>
      <w:suppressLineNumbers/>
    </w:pPr>
    <w:rPr/>
  </w:style>
  <w:style w:type="paragraph" w:styleId="Style21">
    <w:name w:val="Заголовок таблицы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593e8a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273C1B-969C-42AF-B5E0-02C6F4917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</TotalTime>
  <Application>LibreOffice/7.4.3.2$Windows_X86_64 LibreOffice_project/1048a8393ae2eeec98dff31b5c133c5f1d08b890</Application>
  <AppVersion>15.0000</AppVersion>
  <Pages>1</Pages>
  <Words>224</Words>
  <Characters>1544</Characters>
  <CharactersWithSpaces>1757</CharactersWithSpaces>
  <Paragraphs>18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2019-12-26T04:51:00Z</dcterms:created>
  <dc:creator>User</dc:creator>
  <dc:description/>
  <dc:language>ru-RU</dc:language>
  <cp:lastModifiedBy/>
  <cp:lastPrinted>2023-10-24T13:36:22Z</cp:lastPrinted>
  <dcterms:modified xsi:type="dcterms:W3CDTF">2024-10-25T10:05:23Z</dcterms:modified>
  <cp:revision>72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