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32" w:rsidRDefault="00D6409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C5932" w:rsidRDefault="00D6409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55</w:t>
      </w:r>
    </w:p>
    <w:p w:rsidR="001C5932" w:rsidRPr="00DE45CD" w:rsidRDefault="00D6409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E45CD">
        <w:rPr>
          <w:b/>
        </w:rPr>
        <w:t>Форма 2. Сведения о многоквартирном доме, управление которым осущес</w:t>
      </w:r>
      <w:r w:rsidR="00DE45C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C5932" w:rsidRDefault="001C5932">
      <w:pPr>
        <w:spacing w:line="240" w:lineRule="exact"/>
        <w:rPr>
          <w:sz w:val="2"/>
          <w:szCs w:val="2"/>
        </w:rPr>
      </w:pPr>
    </w:p>
    <w:p w:rsidR="001C5932" w:rsidRPr="00DE45CD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E45CD">
        <w:rPr>
          <w:b/>
        </w:rPr>
        <w:t>Форма 2.1. Общие сведения о многоквартирном доме</w:t>
      </w:r>
      <w:r w:rsidR="00DE45CD" w:rsidRPr="00DE45C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25.01.2010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5CD" w:rsidRDefault="00DE45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E45CD" w:rsidRDefault="00DE45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55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Индивидуальный проект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Многоквартирный </w:t>
            </w:r>
            <w:r>
              <w:rPr>
                <w:rStyle w:val="1"/>
              </w:rPr>
              <w:t>дом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291.40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271.60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19.80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66:50:0510022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1232.00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DE45CD" w:rsidRDefault="00DE45CD">
      <w:pPr>
        <w:pStyle w:val="21"/>
        <w:shd w:val="clear" w:color="auto" w:fill="auto"/>
        <w:spacing w:before="195" w:after="194"/>
        <w:ind w:left="820" w:right="40"/>
      </w:pPr>
    </w:p>
    <w:p w:rsidR="00DE45CD" w:rsidRDefault="00DE45CD">
      <w:pPr>
        <w:pStyle w:val="21"/>
        <w:shd w:val="clear" w:color="auto" w:fill="auto"/>
        <w:spacing w:before="195" w:after="194"/>
        <w:ind w:left="820" w:right="40"/>
      </w:pPr>
    </w:p>
    <w:p w:rsidR="00DE45CD" w:rsidRDefault="00DE45CD">
      <w:pPr>
        <w:pStyle w:val="21"/>
        <w:shd w:val="clear" w:color="auto" w:fill="auto"/>
        <w:spacing w:before="195" w:after="194"/>
        <w:ind w:left="820" w:right="40"/>
      </w:pPr>
    </w:p>
    <w:p w:rsidR="00DE45CD" w:rsidRDefault="00DE45CD">
      <w:pPr>
        <w:pStyle w:val="21"/>
        <w:shd w:val="clear" w:color="auto" w:fill="auto"/>
        <w:spacing w:before="195" w:after="194"/>
        <w:ind w:left="820" w:right="40"/>
      </w:pPr>
    </w:p>
    <w:p w:rsidR="001C5932" w:rsidRDefault="00D64093">
      <w:pPr>
        <w:pStyle w:val="21"/>
        <w:shd w:val="clear" w:color="auto" w:fill="auto"/>
        <w:spacing w:before="195" w:after="194"/>
        <w:ind w:left="820" w:right="40"/>
      </w:pPr>
      <w: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5932" w:rsidRDefault="001C5932">
      <w:pPr>
        <w:rPr>
          <w:sz w:val="2"/>
          <w:szCs w:val="2"/>
        </w:rPr>
        <w:sectPr w:rsidR="001C5932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Материал </w:t>
            </w:r>
            <w:r>
              <w:rPr>
                <w:rStyle w:val="1"/>
              </w:rPr>
              <w:t>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Из волнистых и полуволнистых </w:t>
            </w:r>
            <w:r>
              <w:rPr>
                <w:rStyle w:val="1"/>
              </w:rPr>
              <w:t>асбестоцементных листов (шиферная)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156.00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D6409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</w:t>
      </w:r>
      <w:r>
        <w:t>(заполняется для каждого лифта) Лифты в доме отсутствуют</w:t>
      </w:r>
    </w:p>
    <w:p w:rsidR="001C5932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Дата заполнения/внесения </w:t>
            </w:r>
            <w:r>
              <w:rPr>
                <w:rStyle w:val="1"/>
              </w:rPr>
              <w:t>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</w:t>
            </w:r>
            <w:r>
              <w:rPr>
                <w:rStyle w:val="1"/>
              </w:rPr>
              <w:t xml:space="preserve">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</w:t>
            </w:r>
            <w:r>
              <w:rPr>
                <w:rStyle w:val="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01.02.2021</w:t>
            </w:r>
          </w:p>
        </w:tc>
      </w:tr>
    </w:tbl>
    <w:p w:rsidR="001C5932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lastRenderedPageBreak/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Система </w:t>
            </w:r>
            <w:r>
              <w:rPr>
                <w:rStyle w:val="1"/>
              </w:rPr>
              <w:t>газоснабжения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системы </w:t>
            </w:r>
            <w:r>
              <w:rPr>
                <w:rStyle w:val="1"/>
              </w:rPr>
              <w:t>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D64093">
      <w:pPr>
        <w:pStyle w:val="21"/>
        <w:shd w:val="clear" w:color="auto" w:fill="auto"/>
        <w:spacing w:before="195" w:after="194"/>
        <w:ind w:left="820" w:right="300"/>
        <w:jc w:val="left"/>
      </w:pPr>
      <w:r>
        <w:t xml:space="preserve">Форма 2.3. Сведения о </w:t>
      </w:r>
      <w: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6616.18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9451.68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3356.98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2509.58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</w:t>
            </w:r>
            <w:r>
              <w:rPr>
                <w:rStyle w:val="1"/>
              </w:rPr>
              <w:t xml:space="preserve">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11961.26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</w:t>
            </w:r>
            <w:r>
              <w:rPr>
                <w:rStyle w:val="1"/>
              </w:rPr>
              <w:t xml:space="preserve"> домов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4905.10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2.4. Сведения об 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15.11.2015 в 19:08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0"/>
          <w:footerReference w:type="default" r:id="rId11"/>
          <w:footerReference w:type="first" r:id="rId12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</w:t>
            </w:r>
            <w:r>
              <w:rPr>
                <w:rStyle w:val="1"/>
              </w:rPr>
              <w:t>через прямые договоры с собственниками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</w:t>
            </w:r>
            <w:r>
              <w:rPr>
                <w:rStyle w:val="1"/>
              </w:rPr>
              <w:t>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является </w:t>
            </w:r>
            <w:r>
              <w:rPr>
                <w:rStyle w:val="1"/>
              </w:rPr>
              <w:t>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</w:t>
            </w:r>
            <w:r>
              <w:rPr>
                <w:rStyle w:val="1"/>
              </w:rPr>
              <w:t>СУАЛ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договора на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</w:t>
            </w:r>
            <w:r>
              <w:rPr>
                <w:rStyle w:val="1"/>
              </w:rPr>
              <w:t xml:space="preserve">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</w:t>
            </w:r>
            <w:r>
              <w:rPr>
                <w:rStyle w:val="1"/>
              </w:rPr>
              <w:t>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</w:t>
            </w:r>
            <w:r>
              <w:rPr>
                <w:rStyle w:val="1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  <w:r>
              <w:rPr>
                <w:rStyle w:val="1"/>
              </w:rPr>
              <w:t xml:space="preserve">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2.310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</w:t>
            </w:r>
            <w:r>
              <w:rPr>
                <w:rStyle w:val="1"/>
              </w:rPr>
              <w:t xml:space="preserve"> зона - 2,38, Ночная зона - 1,13.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Лицо, осуществляющее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договора </w:t>
            </w:r>
            <w:r>
              <w:rPr>
                <w:rStyle w:val="1"/>
              </w:rPr>
              <w:t>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Норматив потребления по электроснабжению с 01.07.2015г. 1 комната: 1чел. - 192 кВт*час; 2чел. - 119 кВт*час; </w:t>
            </w:r>
            <w:r>
              <w:rPr>
                <w:rStyle w:val="1"/>
              </w:rPr>
              <w:t>3чел. - 92 кВт*час; 4чел.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75 кВт*час; 5чел. и более - 65 кВт*час. 2 комнаты: 1чел. - 227 кВт*час; 2чел. - 140 кВт*час; 3чел. - 109 кВт*час; 4чел. - 88 кВт*час; 5чел. и более - 77 кВт*час. 3 комнаты: 1чел.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248 кВт*час; 2чел. - 154 кВт*час; 3чел. - 119 кВт*ч</w:t>
            </w:r>
            <w:r>
              <w:rPr>
                <w:rStyle w:val="1"/>
              </w:rPr>
              <w:t>ас; 4чел. - 97 кВт*час; 5чел. и более - 84 кВт*час. 4 комнаты и более: 1чел. - 263 кВт*час; 2чел. - 163 кВт*час; 3чел. - 126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кВт*час; 4чел. - 103 кВт*час; 5чел. и более - 89 </w:t>
            </w:r>
            <w:r>
              <w:rPr>
                <w:rStyle w:val="1"/>
              </w:rPr>
              <w:t>кВт*час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</w:t>
            </w:r>
            <w:r>
              <w:rPr>
                <w:rStyle w:val="1"/>
              </w:rPr>
              <w:t>отсутствии ОПУ к нормативу применяется повышающий коэффициент согласно Постановления РЭК.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нормативного правового </w:t>
            </w:r>
            <w:r>
              <w:rPr>
                <w:rStyle w:val="1"/>
              </w:rPr>
              <w:t>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</w:t>
            </w:r>
            <w:r>
              <w:rPr>
                <w:rStyle w:val="1"/>
              </w:rPr>
              <w:t>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</w:t>
            </w:r>
            <w:r>
              <w:rPr>
                <w:rStyle w:val="1"/>
              </w:rPr>
              <w:t>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Файл не прикреплен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договора на </w:t>
            </w:r>
            <w:r>
              <w:rPr>
                <w:rStyle w:val="1"/>
              </w:rPr>
              <w:t>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нормативного </w:t>
            </w:r>
            <w:r>
              <w:rPr>
                <w:rStyle w:val="1"/>
              </w:rPr>
              <w:t>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Услуга не </w:t>
            </w:r>
            <w:r>
              <w:rPr>
                <w:rStyle w:val="1"/>
              </w:rPr>
              <w:t>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</w:t>
            </w:r>
            <w:r>
              <w:rPr>
                <w:rStyle w:val="1"/>
              </w:rPr>
              <w:t>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</w:t>
            </w:r>
            <w:r>
              <w:rPr>
                <w:rStyle w:val="1"/>
              </w:rPr>
              <w:t>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205-ПК; </w:t>
            </w:r>
            <w:r>
              <w:rPr>
                <w:rStyle w:val="1"/>
              </w:rPr>
              <w:t>207-ПК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</w:t>
            </w:r>
            <w:r>
              <w:rPr>
                <w:rStyle w:val="1"/>
              </w:rPr>
              <w:t xml:space="preserve">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Коэффициент на ОДН может </w:t>
            </w:r>
            <w:r>
              <w:rPr>
                <w:rStyle w:val="1"/>
              </w:rPr>
              <w:t>меняться при изменении параметров, участвующих в расчёте.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headerReference w:type="even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</w:t>
            </w:r>
            <w:r>
              <w:rPr>
                <w:rStyle w:val="1"/>
              </w:rPr>
              <w:t>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</w:t>
            </w:r>
            <w:r>
              <w:rPr>
                <w:rStyle w:val="1"/>
              </w:rPr>
              <w:t>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ВиК.йос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</w:t>
            </w:r>
            <w:r>
              <w:rPr>
                <w:rStyle w:val="1"/>
              </w:rPr>
              <w:t xml:space="preserve">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отсутствии ИПУ к базовому нормативу применяется повышающий коэффициент </w:t>
            </w:r>
            <w:r>
              <w:rPr>
                <w:rStyle w:val="1"/>
              </w:rPr>
              <w:t>(согласно Постановления РЭК).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</w:t>
            </w:r>
            <w:r>
              <w:rPr>
                <w:rStyle w:val="1"/>
              </w:rPr>
              <w:t xml:space="preserve">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</w:t>
            </w:r>
            <w:r>
              <w:rPr>
                <w:rStyle w:val="1"/>
              </w:rPr>
              <w:t xml:space="preserve">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headerReference w:type="even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</w:t>
            </w:r>
            <w:r>
              <w:rPr>
                <w:rStyle w:val="1"/>
              </w:rPr>
              <w:t xml:space="preserve">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D64093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1C5932" w:rsidRDefault="00D64093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1C5932" w:rsidRDefault="00D64093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 xml:space="preserve">Форма 2.6. </w:t>
      </w:r>
      <w:r>
        <w:t>Сведения о капитальном ремонте общего имущества в многоквартирном доме Не имеется</w:t>
      </w:r>
    </w:p>
    <w:p w:rsidR="001C5932" w:rsidRDefault="00D64093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1C5932" w:rsidRDefault="00D64093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1C5932" w:rsidRDefault="00D64093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</w:t>
      </w:r>
      <w:r>
        <w:t>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29.07.2015 в 13:22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D64093">
      <w:pPr>
        <w:pStyle w:val="21"/>
        <w:shd w:val="clear" w:color="auto" w:fill="auto"/>
        <w:spacing w:before="195" w:after="194"/>
        <w:ind w:left="820" w:right="16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за содержание </w:t>
            </w:r>
            <w:r>
              <w:rPr>
                <w:rStyle w:val="1"/>
              </w:rPr>
              <w:t>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целевых взносов от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D64093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7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</w:t>
            </w:r>
            <w:r>
              <w:rPr>
                <w:rStyle w:val="1"/>
              </w:rPr>
              <w:t xml:space="preserve">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</w:t>
            </w:r>
            <w:r>
              <w:rPr>
                <w:rStyle w:val="1"/>
              </w:rPr>
              <w:t xml:space="preserve">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</w:t>
      </w:r>
      <w:r>
        <w:t>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D640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D640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</w:pPr>
    </w:p>
    <w:sectPr w:rsidR="001C5932" w:rsidSect="001C5932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93" w:rsidRDefault="00D64093" w:rsidP="001C5932">
      <w:r>
        <w:separator/>
      </w:r>
    </w:p>
  </w:endnote>
  <w:endnote w:type="continuationSeparator" w:id="0">
    <w:p w:rsidR="00D64093" w:rsidRDefault="00D64093" w:rsidP="001C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7.4pt;width:71.7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26" type="#_x0000_t202" style="position:absolute;margin-left:164.75pt;margin-top:810.6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61.25pt;margin-top:830.25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43" type="#_x0000_t202" style="position:absolute;margin-left:60.95pt;margin-top:817.05pt;width:76.8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61.25pt;margin-top:830.25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45" type="#_x0000_t202" style="position:absolute;margin-left:60.95pt;margin-top:817.05pt;width:76.8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43B94" w:rsidRPr="00643B9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5.4pt;margin-top:797.4pt;width:76.8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48" type="#_x0000_t202" style="position:absolute;margin-left:165.7pt;margin-top:810.6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5.4pt;margin-top:797.4pt;width:76.8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51" type="#_x0000_t202" style="position:absolute;margin-left:165.7pt;margin-top:810.6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53" type="#_x0000_t202" style="position:absolute;margin-left:60.95pt;margin-top:817.05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6.8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ЬПр://ге(огтадкЬ.ги/ 16.11.2015 </w:t>
                </w:r>
                <w:r>
                  <w:rPr>
                    <w:rStyle w:val="a6"/>
                  </w:rPr>
                  <w:t>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58" type="#_x0000_t202" style="position:absolute;margin-left:60.95pt;margin-top:817.05pt;width:76.8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61.25pt;margin-top:830.25pt;width:263.75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60" type="#_x0000_t202" style="position:absolute;margin-left:60.95pt;margin-top:817.05pt;width:76.8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6.8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1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30.2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0" type="#_x0000_t202" style="position:absolute;margin-left:60.95pt;margin-top:817.05pt;width:76.8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2" type="#_x0000_t202" style="position:absolute;margin-left:60.95pt;margin-top:817.05pt;width:76.8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</w:t>
                </w:r>
                <w:r>
                  <w:rPr>
                    <w:rStyle w:val="a6"/>
                  </w:rPr>
                  <w:t>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4" type="#_x0000_t202" style="position:absolute;margin-left:60.95pt;margin-top:817.05pt;width:76.8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6" type="#_x0000_t202" style="position:absolute;margin-left:60.95pt;margin-top:817.05pt;width:76.8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8" type="#_x0000_t202" style="position:absolute;margin-left:60.95pt;margin-top:817.05pt;width:76.8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1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45CD" w:rsidRPr="00DE45C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93" w:rsidRDefault="00D64093"/>
  </w:footnote>
  <w:footnote w:type="continuationSeparator" w:id="0">
    <w:p w:rsidR="00D64093" w:rsidRDefault="00D640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5.55pt;margin-top:25.8pt;width:7.45pt;height:8.6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55pt;margin-top:25.8pt;width:7.45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D640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02F"/>
    <w:multiLevelType w:val="multilevel"/>
    <w:tmpl w:val="660C7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5932"/>
    <w:rsid w:val="001C5932"/>
    <w:rsid w:val="00643B94"/>
    <w:rsid w:val="00D64093"/>
    <w:rsid w:val="00DE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9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9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C59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C59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C59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C59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C59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0.xml"/><Relationship Id="rId25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14.xml"/><Relationship Id="rId28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3.xml"/><Relationship Id="rId27" Type="http://schemas.openxmlformats.org/officeDocument/2006/relationships/footer" Target="footer16.xml"/><Relationship Id="rId30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5993</Words>
  <Characters>34162</Characters>
  <Application>Microsoft Office Word</Application>
  <DocSecurity>0</DocSecurity>
  <Lines>284</Lines>
  <Paragraphs>80</Paragraphs>
  <ScaleCrop>false</ScaleCrop>
  <Company/>
  <LinksUpToDate>false</LinksUpToDate>
  <CharactersWithSpaces>40075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2015-11-16T08:27:00Z</dcterms:created>
  <dcterms:modified xsi:type="dcterms:W3CDTF">2015-11-16T08:27:00Z</dcterms:modified>
</cp:coreProperties>
</file>